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Dr. Veerendra Patil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Dr. Veerendra Patil is a leading Medical Oncologist, Hemato Oncologist, and Pediatric Hematologist. He has close to a decade of clinical experience in the field of medical oncology. He is associated with Basavatarakam Indo-American Cancer Hospital &amp; Research Institute, Hyderabad.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He is registered with the Telangana State Medical and Karnataka Medical Councils and is a member of the Indian Academy of Pediatrics (IAP) and Indian Medical Association (IMA). He recieved his speciality training from Kasturba Medical College, Manipal University, and underwent training in primary Immunodeficiency Disorders and Pediatric BMT from Children’s Mercy Hospital, Kansas, USA.</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He staunchly champions the crucial role of nutrition in pediatric oncology care.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